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جدول يُلخّص الضوابط الخاصة ببرنامج "ادرس في العراق"</w:t>
      </w:r>
    </w:p>
    <w:p>
      <w:r>
        <w:t>فيما يلي توضيح للضوابط المعتمدة للقبول ضمن برنامج "ادرس في العراق"، وفق نوع الدراسة والكلية ونوع المنحة: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نوع الدراسة</w:t>
            </w:r>
          </w:p>
        </w:tc>
        <w:tc>
          <w:tcPr>
            <w:tcW w:type="dxa" w:w="1728"/>
          </w:tcPr>
          <w:p>
            <w:r>
              <w:t>الكلية</w:t>
            </w:r>
          </w:p>
        </w:tc>
        <w:tc>
          <w:tcPr>
            <w:tcW w:type="dxa" w:w="1728"/>
          </w:tcPr>
          <w:p>
            <w:r>
              <w:t>مجاني</w:t>
            </w:r>
          </w:p>
        </w:tc>
        <w:tc>
          <w:tcPr>
            <w:tcW w:type="dxa" w:w="1728"/>
          </w:tcPr>
          <w:p>
            <w:r>
              <w:t>نصف مجاني</w:t>
            </w:r>
          </w:p>
        </w:tc>
        <w:tc>
          <w:tcPr>
            <w:tcW w:type="dxa" w:w="1728"/>
          </w:tcPr>
          <w:p>
            <w:r>
              <w:t>نفقة خاصة</w:t>
            </w:r>
          </w:p>
        </w:tc>
      </w:tr>
      <w:tr>
        <w:tc>
          <w:tcPr>
            <w:tcW w:type="dxa" w:w="1728"/>
          </w:tcPr>
          <w:p>
            <w:r>
              <w:t>بكالوريوس</w:t>
            </w:r>
          </w:p>
        </w:tc>
        <w:tc>
          <w:tcPr>
            <w:tcW w:type="dxa" w:w="1728"/>
          </w:tcPr>
          <w:p>
            <w:r>
              <w:t>الطب</w:t>
            </w:r>
          </w:p>
        </w:tc>
        <w:tc>
          <w:tcPr>
            <w:tcW w:type="dxa" w:w="1728"/>
          </w:tcPr>
          <w:p>
            <w:r>
              <w:t>المعدل: 90، العمر: 25</w:t>
            </w:r>
          </w:p>
        </w:tc>
        <w:tc>
          <w:tcPr>
            <w:tcW w:type="dxa" w:w="1728"/>
          </w:tcPr>
          <w:p>
            <w:r>
              <w:t>المعدل: 80، العمر: 30</w:t>
            </w:r>
          </w:p>
        </w:tc>
        <w:tc>
          <w:tcPr>
            <w:tcW w:type="dxa" w:w="1728"/>
          </w:tcPr>
          <w:p>
            <w:r>
              <w:t>المعدل: 75، العمر: 30 +</w:t>
            </w:r>
          </w:p>
        </w:tc>
      </w:tr>
      <w:tr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طب الأسنان والصيدلة</w:t>
            </w:r>
          </w:p>
        </w:tc>
        <w:tc>
          <w:tcPr>
            <w:tcW w:type="dxa" w:w="1728"/>
          </w:tcPr>
          <w:p>
            <w:r>
              <w:t>المعدل: 85، العمر: 25</w:t>
            </w:r>
          </w:p>
        </w:tc>
        <w:tc>
          <w:tcPr>
            <w:tcW w:type="dxa" w:w="1728"/>
          </w:tcPr>
          <w:p>
            <w:r>
              <w:t>المعدل: 75، العمر: 30</w:t>
            </w:r>
          </w:p>
        </w:tc>
        <w:tc>
          <w:tcPr>
            <w:tcW w:type="dxa" w:w="1728"/>
          </w:tcPr>
          <w:p>
            <w:r>
              <w:t>المعدل: 70، العمر: 30 +</w:t>
            </w:r>
          </w:p>
        </w:tc>
      </w:tr>
      <w:tr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الهندسة والتمريض</w:t>
            </w:r>
          </w:p>
        </w:tc>
        <w:tc>
          <w:tcPr>
            <w:tcW w:type="dxa" w:w="1728"/>
          </w:tcPr>
          <w:p>
            <w:r>
              <w:t>المعدل: 65، العمر: 30</w:t>
            </w:r>
          </w:p>
        </w:tc>
        <w:tc>
          <w:tcPr>
            <w:tcW w:type="dxa" w:w="1728"/>
          </w:tcPr>
          <w:p>
            <w:r>
              <w:t>المعدل: 60، العمر: 35 +</w:t>
            </w:r>
          </w:p>
        </w:tc>
        <w:tc>
          <w:tcPr>
            <w:tcW w:type="dxa" w:w="1728"/>
          </w:tcPr>
          <w:p>
            <w:r>
              <w:t>المعدل: 60، العمر: 35 +</w:t>
            </w:r>
          </w:p>
        </w:tc>
      </w:tr>
      <w:tr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الكليات الأخرى</w:t>
            </w:r>
          </w:p>
        </w:tc>
        <w:tc>
          <w:tcPr>
            <w:tcW w:type="dxa" w:w="1728"/>
          </w:tcPr>
          <w:p>
            <w:r>
              <w:t>المعدل: 60، العمر: 30</w:t>
            </w:r>
          </w:p>
        </w:tc>
        <w:tc>
          <w:tcPr>
            <w:tcW w:type="dxa" w:w="1728"/>
          </w:tcPr>
          <w:p>
            <w:r>
              <w:t>—</w:t>
            </w:r>
          </w:p>
        </w:tc>
        <w:tc>
          <w:tcPr>
            <w:tcW w:type="dxa" w:w="1728"/>
          </w:tcPr>
          <w:p>
            <w:r>
              <w:t>المعدل: 60، العمر: 35 +</w:t>
            </w:r>
          </w:p>
        </w:tc>
      </w:tr>
      <w:tr>
        <w:tc>
          <w:tcPr>
            <w:tcW w:type="dxa" w:w="1728"/>
          </w:tcPr>
          <w:p>
            <w:r>
              <w:t>دبلوم عالي أو ماجستير</w:t>
            </w:r>
          </w:p>
        </w:tc>
        <w:tc>
          <w:tcPr>
            <w:tcW w:type="dxa" w:w="1728"/>
          </w:tcPr>
          <w:p>
            <w:r>
              <w:t>—</w:t>
            </w:r>
          </w:p>
        </w:tc>
        <w:tc>
          <w:tcPr>
            <w:tcW w:type="dxa" w:w="1728"/>
          </w:tcPr>
          <w:p>
            <w:r>
              <w:t>المعدل: 65، شرط ألا يزيد العمر عن 45 سنة</w:t>
            </w:r>
          </w:p>
        </w:tc>
        <w:tc>
          <w:tcPr>
            <w:tcW w:type="dxa" w:w="1728"/>
          </w:tcPr>
          <w:p>
            <w:r>
              <w:t>—</w:t>
            </w:r>
          </w:p>
        </w:tc>
        <w:tc>
          <w:tcPr>
            <w:tcW w:type="dxa" w:w="1728"/>
          </w:tcPr>
          <w:p>
            <w:r>
              <w:t>المعدل: 65، شرط ألا يزيد العمر عن 60 سنة</w:t>
            </w:r>
          </w:p>
        </w:tc>
      </w:tr>
      <w:tr>
        <w:tc>
          <w:tcPr>
            <w:tcW w:type="dxa" w:w="1728"/>
          </w:tcPr>
          <w:p>
            <w:r>
              <w:t>الدكتوراه</w:t>
            </w:r>
          </w:p>
        </w:tc>
        <w:tc>
          <w:tcPr>
            <w:tcW w:type="dxa" w:w="1728"/>
          </w:tcPr>
          <w:p>
            <w:r>
              <w:t>—</w:t>
            </w:r>
          </w:p>
        </w:tc>
        <w:tc>
          <w:tcPr>
            <w:tcW w:type="dxa" w:w="1728"/>
          </w:tcPr>
          <w:p>
            <w:r>
              <w:t>المعدل: 70، شرط ألا يزيد العمر عن 50 سنة</w:t>
            </w:r>
          </w:p>
        </w:tc>
        <w:tc>
          <w:tcPr>
            <w:tcW w:type="dxa" w:w="1728"/>
          </w:tcPr>
          <w:p>
            <w:r>
              <w:t>—</w:t>
            </w:r>
          </w:p>
        </w:tc>
        <w:tc>
          <w:tcPr>
            <w:tcW w:type="dxa" w:w="1728"/>
          </w:tcPr>
          <w:p>
            <w:r>
              <w:t>المعدل: 70، شرط ألا يزيد العمر عن 65 سنة</w:t>
            </w:r>
          </w:p>
        </w:tc>
      </w:tr>
    </w:tbl>
    <w:p>
      <w:r>
        <w:br/>
        <w:t>ملاحظة:</w:t>
        <w:br/>
        <w:t>الرمز (+) يشير إلى أن المتقدم يُستثنى من شرط العمر أو المعدل أو كليهما حسب ما يحدده النظام.</w:t>
      </w:r>
    </w:p>
    <w:p>
      <w:r>
        <w:br/>
        <w:t>إعداد: أ.د. مجيد عبد الحسين حمزة</w:t>
        <w:br/>
        <w:t>مدير قسم البعثات والعلاقات الثقافية في جامعة المثنى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